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Heading1"/>
        <w:keepNext w:val="0"/>
        <w:keepLines w:val="0"/>
        <w:spacing w:before="480" w:lineRule="auto"/>
        <w:rPr>
          <w:b w:val="1"/>
          <w:bCs w:val="1"/>
          <w:sz w:val="46"/>
          <w:szCs w:val="46"/>
        </w:rPr>
      </w:pPr>
      <w:bookmarkStart w:colFirst="0" w:colLast="0" w:name="_dfq3odcc36fm" w:id="0"/>
      <w:bookmarkEnd w:id="0"/>
      <w:r w:rsidDel="00000000" w:rsidR="00000000" w:rsidRPr="00000000">
        <w:rPr>
          <w:b w:val="1"/>
          <w:bCs w:val="1"/>
          <w:sz w:val="46"/>
          <w:szCs w:val="46"/>
          <w:rtl w:val="0"/>
        </w:rPr>
        <w:t xml:space="preserve">Summary resubmission advice for CPD students</w:t>
      </w:r>
    </w:p>
    <w:p w:rsidR="00000000" w:rsidDel="00000000" w:rsidP="00000000" w:rsidRDefault="00000000" w:rsidRPr="00000000" w14:paraId="00000002">
      <w:pPr>
        <w:spacing w:after="240" w:before="240" w:lineRule="auto"/>
        <w:rPr/>
      </w:pPr>
      <w:r w:rsidDel="00000000" w:rsidR="00000000" w:rsidRPr="00000000">
        <w:rPr>
          <w:rtl w:val="0"/>
        </w:rPr>
        <w:t xml:space="preserve">The following guidance is applicable to 2025/26 academic year and CPD (Continuing Professional Development) students studying safety engineering taught modules. </w:t>
      </w:r>
    </w:p>
    <w:p w:rsidR="00000000" w:rsidDel="00000000" w:rsidP="00000000" w:rsidRDefault="00000000" w:rsidRPr="00000000" w14:paraId="00000003">
      <w:pPr>
        <w:spacing w:after="240" w:before="240" w:lineRule="auto"/>
        <w:rPr/>
      </w:pPr>
      <w:r w:rsidDel="00000000" w:rsidR="00000000" w:rsidRPr="00000000">
        <w:rPr>
          <w:rtl w:val="0"/>
        </w:rPr>
        <w:t xml:space="preserve">Each of your module marks belongs to one of three categories:</w:t>
      </w:r>
    </w:p>
    <w:p w:rsidR="00000000" w:rsidDel="00000000" w:rsidP="00000000" w:rsidRDefault="00000000" w:rsidRPr="00000000" w14:paraId="00000004">
      <w:pPr>
        <w:numPr>
          <w:ilvl w:val="0"/>
          <w:numId w:val="1"/>
        </w:numPr>
        <w:spacing w:after="0" w:afterAutospacing="0" w:before="240" w:lineRule="auto"/>
        <w:ind w:left="720" w:hanging="360"/>
      </w:pPr>
      <w:r w:rsidDel="00000000" w:rsidR="00000000" w:rsidRPr="00000000">
        <w:rPr>
          <w:b w:val="1"/>
          <w:bCs w:val="1"/>
          <w:rtl w:val="0"/>
        </w:rPr>
        <w:t xml:space="preserve">Pass</w:t>
      </w:r>
      <w:r w:rsidDel="00000000" w:rsidR="00000000" w:rsidRPr="00000000">
        <w:rPr>
          <w:rtl w:val="0"/>
        </w:rPr>
        <w:t xml:space="preserve"> - a mark of 50 or more</w:t>
      </w:r>
    </w:p>
    <w:p w:rsidR="00000000" w:rsidDel="00000000" w:rsidP="00000000" w:rsidRDefault="00000000" w:rsidRPr="00000000" w14:paraId="00000005">
      <w:pPr>
        <w:numPr>
          <w:ilvl w:val="0"/>
          <w:numId w:val="1"/>
        </w:numPr>
        <w:spacing w:after="0" w:afterAutospacing="0" w:before="0" w:beforeAutospacing="0" w:lineRule="auto"/>
        <w:ind w:left="720" w:hanging="360"/>
      </w:pPr>
      <w:r w:rsidDel="00000000" w:rsidR="00000000" w:rsidRPr="00000000">
        <w:rPr>
          <w:b w:val="1"/>
          <w:bCs w:val="1"/>
          <w:rtl w:val="0"/>
        </w:rPr>
        <w:t xml:space="preserve">Marginal Fail</w:t>
      </w:r>
      <w:r w:rsidDel="00000000" w:rsidR="00000000" w:rsidRPr="00000000">
        <w:rPr>
          <w:rtl w:val="0"/>
        </w:rPr>
        <w:t xml:space="preserve"> - a mark of 40-49</w:t>
      </w:r>
    </w:p>
    <w:p w:rsidR="00000000" w:rsidDel="00000000" w:rsidP="00000000" w:rsidRDefault="00000000" w:rsidRPr="00000000" w14:paraId="00000006">
      <w:pPr>
        <w:numPr>
          <w:ilvl w:val="0"/>
          <w:numId w:val="1"/>
        </w:numPr>
        <w:spacing w:after="240" w:before="0" w:beforeAutospacing="0" w:lineRule="auto"/>
        <w:ind w:left="720" w:hanging="360"/>
      </w:pPr>
      <w:r w:rsidDel="00000000" w:rsidR="00000000" w:rsidRPr="00000000">
        <w:rPr>
          <w:b w:val="1"/>
          <w:bCs w:val="1"/>
          <w:rtl w:val="0"/>
        </w:rPr>
        <w:t xml:space="preserve">Outright Fail</w:t>
      </w:r>
      <w:r w:rsidDel="00000000" w:rsidR="00000000" w:rsidRPr="00000000">
        <w:rPr>
          <w:rtl w:val="0"/>
        </w:rPr>
        <w:t xml:space="preserve"> - a mark of 39 or less</w:t>
      </w:r>
    </w:p>
    <w:p w:rsidR="00000000" w:rsidDel="00000000" w:rsidP="00000000" w:rsidRDefault="00000000" w:rsidRPr="00000000" w14:paraId="00000007">
      <w:pPr>
        <w:pStyle w:val="Heading2"/>
        <w:keepNext w:val="0"/>
        <w:keepLines w:val="0"/>
        <w:rPr>
          <w:b w:val="1"/>
          <w:bCs w:val="1"/>
          <w:sz w:val="34"/>
          <w:szCs w:val="34"/>
        </w:rPr>
      </w:pPr>
      <w:bookmarkStart w:colFirst="0" w:colLast="0" w:name="_3yvxa6nmr0k" w:id="1"/>
      <w:bookmarkEnd w:id="1"/>
      <w:r w:rsidDel="00000000" w:rsidR="00000000" w:rsidRPr="00000000">
        <w:rPr>
          <w:rtl w:val="0"/>
        </w:rPr>
        <w:t xml:space="preserve">Reassessments</w:t>
      </w:r>
      <w:r w:rsidDel="00000000" w:rsidR="00000000" w:rsidRPr="00000000">
        <w:rPr>
          <w:rtl w:val="0"/>
        </w:rPr>
      </w:r>
    </w:p>
    <w:p w:rsidR="00000000" w:rsidDel="00000000" w:rsidP="00000000" w:rsidRDefault="00000000" w:rsidRPr="00000000" w14:paraId="00000008">
      <w:pPr>
        <w:spacing w:after="240" w:before="240" w:lineRule="auto"/>
        <w:rPr/>
      </w:pPr>
      <w:r w:rsidDel="00000000" w:rsidR="00000000" w:rsidRPr="00000000">
        <w:rPr>
          <w:rtl w:val="0"/>
        </w:rPr>
        <w:t xml:space="preserve">If you receive a fail mark for a taught module, you may be eligible for reassessment. Following the release of marks and feedback, students eligible for resubmission have</w:t>
      </w:r>
      <w:r w:rsidDel="00000000" w:rsidR="00000000" w:rsidRPr="00000000">
        <w:rPr>
          <w:rtl w:val="0"/>
        </w:rPr>
        <w:t xml:space="preserve"> </w:t>
      </w:r>
      <w:r w:rsidDel="00000000" w:rsidR="00000000" w:rsidRPr="00000000">
        <w:rPr>
          <w:rtl w:val="0"/>
        </w:rPr>
        <w:t xml:space="preserve">three</w:t>
      </w:r>
      <w:r w:rsidDel="00000000" w:rsidR="00000000" w:rsidRPr="00000000">
        <w:rPr>
          <w:rtl w:val="0"/>
        </w:rPr>
        <w:t xml:space="preserve"> </w:t>
      </w:r>
      <w:r w:rsidDel="00000000" w:rsidR="00000000" w:rsidRPr="00000000">
        <w:rPr>
          <w:rtl w:val="0"/>
        </w:rPr>
        <w:t xml:space="preserve">weeks to complete their resubmission (deadline 12:00 midday).</w:t>
      </w:r>
    </w:p>
    <w:p w:rsidR="00000000" w:rsidDel="00000000" w:rsidP="00000000" w:rsidRDefault="00000000" w:rsidRPr="00000000" w14:paraId="00000009">
      <w:pPr>
        <w:spacing w:after="240" w:before="240" w:lineRule="auto"/>
        <w:rPr/>
      </w:pPr>
      <w:r w:rsidDel="00000000" w:rsidR="00000000" w:rsidRPr="00000000">
        <w:rPr>
          <w:rtl w:val="0"/>
        </w:rPr>
        <w:t xml:space="preserve">If you are offered a reassessment opportunity for a module and elect not to take the opportunity, the first attempt module mark will be used to calculate your progression towards an award. It is not possible to choose to take the reassessment at a later date.</w:t>
      </w:r>
    </w:p>
    <w:p w:rsidR="00000000" w:rsidDel="00000000" w:rsidP="00000000" w:rsidRDefault="00000000" w:rsidRPr="00000000" w14:paraId="0000000A">
      <w:pPr>
        <w:spacing w:after="240" w:before="240" w:lineRule="auto"/>
        <w:rPr/>
      </w:pPr>
      <w:r w:rsidDel="00000000" w:rsidR="00000000" w:rsidRPr="00000000">
        <w:rPr>
          <w:rtl w:val="0"/>
        </w:rPr>
        <w:t xml:space="preserve">The module mark is capped at the pass mark (50) following reassessment and will be used to determine if you have passed the module(s). Both your original mark (first attempt) and resit mark (second attempt) will appear on your University transcript.</w:t>
      </w:r>
    </w:p>
    <w:p w:rsidR="00000000" w:rsidDel="00000000" w:rsidP="00000000" w:rsidRDefault="00000000" w:rsidRPr="00000000" w14:paraId="0000000B">
      <w:pPr>
        <w:spacing w:after="240" w:before="240" w:lineRule="auto"/>
        <w:rPr/>
      </w:pPr>
      <w:r w:rsidDel="00000000" w:rsidR="00000000" w:rsidRPr="00000000">
        <w:rPr>
          <w:rtl w:val="0"/>
        </w:rPr>
        <w:t xml:space="preserve">As before you will still submit your reassessment via the </w:t>
      </w:r>
      <w:hyperlink r:id="rId6">
        <w:r w:rsidDel="00000000" w:rsidR="00000000" w:rsidRPr="00000000">
          <w:rPr>
            <w:color w:val="1155cc"/>
            <w:u w:val="single"/>
            <w:rtl w:val="0"/>
          </w:rPr>
          <w:t xml:space="preserve">VLE</w:t>
        </w:r>
      </w:hyperlink>
      <w:r w:rsidDel="00000000" w:rsidR="00000000" w:rsidRPr="00000000">
        <w:rPr>
          <w:rtl w:val="0"/>
        </w:rPr>
        <w:t xml:space="preserve">.</w:t>
      </w:r>
    </w:p>
    <w:p w:rsidR="00000000" w:rsidDel="00000000" w:rsidP="00000000" w:rsidRDefault="00000000" w:rsidRPr="00000000" w14:paraId="0000000C">
      <w:pPr>
        <w:spacing w:after="240" w:before="240" w:lineRule="auto"/>
        <w:rPr/>
      </w:pPr>
      <w:r w:rsidDel="00000000" w:rsidR="00000000" w:rsidRPr="00000000">
        <w:rPr>
          <w:rtl w:val="0"/>
        </w:rPr>
        <w:t xml:space="preserve">In order for the markers to see clearly what has changed from the original submission in response to feedback received, resubmissions should clearly mark what has been changed or amended, i.e. different colour text/highlighted. </w:t>
      </w:r>
    </w:p>
    <w:p w:rsidR="00000000" w:rsidDel="00000000" w:rsidP="00000000" w:rsidRDefault="00000000" w:rsidRPr="00000000" w14:paraId="0000000D">
      <w:pPr>
        <w:spacing w:after="240" w:before="240" w:lineRule="auto"/>
        <w:rPr/>
      </w:pPr>
      <w:r w:rsidDel="00000000" w:rsidR="00000000" w:rsidRPr="00000000">
        <w:rPr>
          <w:rtl w:val="0"/>
        </w:rPr>
        <w:t xml:space="preserve">All resit coursework assessments are by resubmission - this is, another attempt at the same assessment paper. Online VLE Resit exams are reassessed by a new paper. Please see the published coursework </w:t>
      </w:r>
      <w:hyperlink r:id="rId7">
        <w:r w:rsidDel="00000000" w:rsidR="00000000" w:rsidRPr="00000000">
          <w:rPr>
            <w:color w:val="1155cc"/>
            <w:u w:val="single"/>
            <w:rtl w:val="0"/>
          </w:rPr>
          <w:t xml:space="preserve">assessment schedule</w:t>
        </w:r>
      </w:hyperlink>
      <w:r w:rsidDel="00000000" w:rsidR="00000000" w:rsidRPr="00000000">
        <w:rPr>
          <w:rtl w:val="0"/>
        </w:rPr>
        <w:t xml:space="preserve"> for more information. </w:t>
      </w:r>
      <w:r w:rsidDel="00000000" w:rsidR="00000000" w:rsidRPr="00000000">
        <w:rPr>
          <w:rtl w:val="0"/>
        </w:rPr>
      </w:r>
    </w:p>
    <w:p w:rsidR="00000000" w:rsidDel="00000000" w:rsidP="00000000" w:rsidRDefault="00000000" w:rsidRPr="00000000" w14:paraId="0000000E">
      <w:pPr>
        <w:pStyle w:val="Heading2"/>
        <w:rPr/>
      </w:pPr>
      <w:bookmarkStart w:colFirst="0" w:colLast="0" w:name="_5alzr2dholb" w:id="2"/>
      <w:bookmarkEnd w:id="2"/>
      <w:r w:rsidDel="00000000" w:rsidR="00000000" w:rsidRPr="00000000">
        <w:rPr>
          <w:rtl w:val="0"/>
        </w:rPr>
        <w:t xml:space="preserve">Non-submissions</w:t>
      </w:r>
    </w:p>
    <w:p w:rsidR="00000000" w:rsidDel="00000000" w:rsidP="00000000" w:rsidRDefault="00000000" w:rsidRPr="00000000" w14:paraId="0000000F">
      <w:pPr>
        <w:keepNext w:val="0"/>
        <w:keepLines w:val="0"/>
        <w:spacing w:before="280" w:lineRule="auto"/>
        <w:rPr/>
      </w:pPr>
      <w:r w:rsidDel="00000000" w:rsidR="00000000" w:rsidRPr="00000000">
        <w:rPr>
          <w:rtl w:val="0"/>
        </w:rPr>
        <w:t xml:space="preserve">Please note that if you fail a core module of the MSc/Dip/Cert programmes you will not be eligible for these awards, so you should resubmit if it is your intention to apply for and work towards an award at a later date. As detailed above, It is not possible to choose later to return to submit the assessment (unless you have approved exceptional circumstances - see below).</w:t>
      </w:r>
    </w:p>
    <w:p w:rsidR="00000000" w:rsidDel="00000000" w:rsidP="00000000" w:rsidRDefault="00000000" w:rsidRPr="00000000" w14:paraId="00000010">
      <w:pPr>
        <w:spacing w:after="240" w:before="240" w:lineRule="auto"/>
        <w:rPr>
          <w:b w:val="1"/>
          <w:bCs w:val="1"/>
          <w:sz w:val="26"/>
          <w:szCs w:val="26"/>
        </w:rPr>
      </w:pPr>
      <w:r w:rsidDel="00000000" w:rsidR="00000000" w:rsidRPr="00000000">
        <w:rPr>
          <w:rtl w:val="0"/>
        </w:rPr>
        <w:t xml:space="preserve">You can see which modules are core to each award on the </w:t>
      </w:r>
      <w:hyperlink r:id="rId8">
        <w:r w:rsidDel="00000000" w:rsidR="00000000" w:rsidRPr="00000000">
          <w:rPr>
            <w:color w:val="1155cc"/>
            <w:u w:val="single"/>
            <w:rtl w:val="0"/>
          </w:rPr>
          <w:t xml:space="preserve">2025/26 PGT Course Schedule</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11">
      <w:pPr>
        <w:spacing w:after="240" w:before="240" w:lineRule="auto"/>
        <w:rPr>
          <w:b w:val="1"/>
          <w:bCs w:val="1"/>
          <w:sz w:val="26"/>
          <w:szCs w:val="26"/>
        </w:rPr>
      </w:pPr>
      <w:r w:rsidDel="00000000" w:rsidR="00000000" w:rsidRPr="00000000">
        <w:rPr>
          <w:rtl w:val="0"/>
        </w:rPr>
      </w:r>
    </w:p>
    <w:p w:rsidR="00000000" w:rsidDel="00000000" w:rsidP="00000000" w:rsidRDefault="00000000" w:rsidRPr="00000000" w14:paraId="00000012">
      <w:pPr>
        <w:pStyle w:val="Heading2"/>
        <w:rPr/>
      </w:pPr>
      <w:bookmarkStart w:colFirst="0" w:colLast="0" w:name="_ijumwnnv65em" w:id="3"/>
      <w:bookmarkEnd w:id="3"/>
      <w:r w:rsidDel="00000000" w:rsidR="00000000" w:rsidRPr="00000000">
        <w:rPr>
          <w:rtl w:val="0"/>
        </w:rPr>
        <w:t xml:space="preserve">SAIFFTs</w:t>
      </w:r>
    </w:p>
    <w:p w:rsidR="00000000" w:rsidDel="00000000" w:rsidP="00000000" w:rsidRDefault="00000000" w:rsidRPr="00000000" w14:paraId="00000013">
      <w:pPr>
        <w:spacing w:after="240" w:before="240" w:lineRule="auto"/>
        <w:rPr/>
      </w:pPr>
      <w:r w:rsidDel="00000000" w:rsidR="00000000" w:rsidRPr="00000000">
        <w:rPr>
          <w:rtl w:val="0"/>
        </w:rPr>
        <w:t xml:space="preserve">If you have been granted </w:t>
      </w:r>
      <w:hyperlink r:id="rId9">
        <w:r w:rsidDel="00000000" w:rsidR="00000000" w:rsidRPr="00000000">
          <w:rPr>
            <w:color w:val="1155cc"/>
            <w:u w:val="single"/>
            <w:rtl w:val="0"/>
          </w:rPr>
          <w:t xml:space="preserve">Exceptional Circumstances (ECs)</w:t>
        </w:r>
      </w:hyperlink>
      <w:r w:rsidDel="00000000" w:rsidR="00000000" w:rsidRPr="00000000">
        <w:rPr>
          <w:rtl w:val="0"/>
        </w:rPr>
        <w:t xml:space="preserve"> and are taking your assessment as a 'sit as if for the first time' (SAIFFT), this sit mark overwrites the previous mark completely. 'Sit' credit is also separate from resit credit, so is not counted in the credit resit threshold (credits). </w:t>
      </w:r>
    </w:p>
    <w:p w:rsidR="00000000" w:rsidDel="00000000" w:rsidP="00000000" w:rsidRDefault="00000000" w:rsidRPr="00000000" w14:paraId="00000014">
      <w:pPr>
        <w:spacing w:after="240" w:before="240" w:lineRule="auto"/>
        <w:rPr/>
      </w:pPr>
      <w:r w:rsidDel="00000000" w:rsidR="00000000" w:rsidRPr="00000000">
        <w:rPr>
          <w:rtl w:val="0"/>
        </w:rPr>
        <w:t xml:space="preserve">If the Exceptional Circumstances Committee has granted you the opportunity to take the SAIFFT in the next academic year, then you will sit a new paper alongside the next cohort. Otherwise, you will take the same paper in the resubmission period following mark and feedback release for the original attempt. </w:t>
      </w:r>
    </w:p>
    <w:p w:rsidR="00000000" w:rsidDel="00000000" w:rsidP="00000000" w:rsidRDefault="00000000" w:rsidRPr="00000000" w14:paraId="00000015">
      <w:pPr>
        <w:spacing w:after="240" w:before="240" w:lineRule="auto"/>
        <w:rPr/>
      </w:pPr>
      <w:r w:rsidDel="00000000" w:rsidR="00000000" w:rsidRPr="00000000">
        <w:rPr>
          <w:rtl w:val="0"/>
        </w:rPr>
        <w:t xml:space="preserve">Granting of a SAIFFT does not allow for repeat study. The department (Safety Team) must apply for this on your behalf to the University's Special Cases. </w:t>
      </w:r>
    </w:p>
    <w:p w:rsidR="00000000" w:rsidDel="00000000" w:rsidP="00000000" w:rsidRDefault="00000000" w:rsidRPr="00000000" w14:paraId="00000016">
      <w:pPr>
        <w:pStyle w:val="Heading2"/>
        <w:rPr/>
      </w:pPr>
      <w:bookmarkStart w:colFirst="0" w:colLast="0" w:name="_ggjos5afwpls" w:id="4"/>
      <w:bookmarkEnd w:id="4"/>
      <w:r w:rsidDel="00000000" w:rsidR="00000000" w:rsidRPr="00000000">
        <w:rPr>
          <w:rtl w:val="0"/>
        </w:rPr>
        <w:t xml:space="preserve">Confused about resit selection and/or advice given here?</w:t>
      </w:r>
    </w:p>
    <w:p w:rsidR="00000000" w:rsidDel="00000000" w:rsidP="00000000" w:rsidRDefault="00000000" w:rsidRPr="00000000" w14:paraId="00000017">
      <w:pPr>
        <w:spacing w:after="240" w:before="240" w:lineRule="auto"/>
        <w:rPr/>
      </w:pPr>
      <w:r w:rsidDel="00000000" w:rsidR="00000000" w:rsidRPr="00000000">
        <w:rPr>
          <w:rtl w:val="0"/>
        </w:rPr>
        <w:t xml:space="preserve">Please contact your supervisor or email us at </w:t>
      </w:r>
      <w:hyperlink r:id="rId10">
        <w:r w:rsidDel="00000000" w:rsidR="00000000" w:rsidRPr="00000000">
          <w:rPr>
            <w:color w:val="1155cc"/>
            <w:u w:val="single"/>
            <w:rtl w:val="0"/>
          </w:rPr>
          <w:t xml:space="preserve">cs-exams@york.ac.uk</w:t>
        </w:r>
      </w:hyperlink>
      <w:r w:rsidDel="00000000" w:rsidR="00000000" w:rsidRPr="00000000">
        <w:rPr>
          <w:rtl w:val="0"/>
        </w:rPr>
        <w:t xml:space="preserve">.</w:t>
      </w:r>
    </w:p>
    <w:p w:rsidR="00000000" w:rsidDel="00000000" w:rsidP="00000000" w:rsidRDefault="00000000" w:rsidRPr="00000000" w14:paraId="00000018">
      <w:pPr>
        <w:pStyle w:val="Heading2"/>
        <w:rPr/>
      </w:pPr>
      <w:bookmarkStart w:colFirst="0" w:colLast="0" w:name="_jvpjjdcmlba5" w:id="5"/>
      <w:bookmarkEnd w:id="5"/>
      <w:r w:rsidDel="00000000" w:rsidR="00000000" w:rsidRPr="00000000">
        <w:rPr>
          <w:rtl w:val="0"/>
        </w:rPr>
        <w:t xml:space="preserve">Related Links</w:t>
      </w:r>
    </w:p>
    <w:p w:rsidR="00000000" w:rsidDel="00000000" w:rsidP="00000000" w:rsidRDefault="00000000" w:rsidRPr="00000000" w14:paraId="00000019">
      <w:pPr>
        <w:numPr>
          <w:ilvl w:val="0"/>
          <w:numId w:val="2"/>
        </w:numPr>
        <w:spacing w:after="0" w:afterAutospacing="0" w:before="240" w:lineRule="auto"/>
        <w:ind w:left="720" w:hanging="360"/>
      </w:pPr>
      <w:hyperlink r:id="rId11">
        <w:r w:rsidDel="00000000" w:rsidR="00000000" w:rsidRPr="00000000">
          <w:rPr>
            <w:color w:val="1155cc"/>
            <w:u w:val="single"/>
            <w:rtl w:val="0"/>
          </w:rPr>
          <w:t xml:space="preserve">Exceptional Circumstances </w:t>
        </w:r>
      </w:hyperlink>
      <w:r w:rsidDel="00000000" w:rsidR="00000000" w:rsidRPr="00000000">
        <w:rPr>
          <w:rtl w:val="0"/>
        </w:rPr>
      </w:r>
    </w:p>
    <w:p w:rsidR="00000000" w:rsidDel="00000000" w:rsidP="00000000" w:rsidRDefault="00000000" w:rsidRPr="00000000" w14:paraId="0000001A">
      <w:pPr>
        <w:numPr>
          <w:ilvl w:val="0"/>
          <w:numId w:val="2"/>
        </w:numPr>
        <w:spacing w:after="0" w:afterAutospacing="0" w:before="0" w:beforeAutospacing="0" w:lineRule="auto"/>
        <w:ind w:left="720" w:hanging="360"/>
      </w:pPr>
      <w:hyperlink r:id="rId12">
        <w:r w:rsidDel="00000000" w:rsidR="00000000" w:rsidRPr="00000000">
          <w:rPr>
            <w:color w:val="1155cc"/>
            <w:u w:val="single"/>
            <w:rtl w:val="0"/>
          </w:rPr>
          <w:t xml:space="preserve">University Assessment policies and procedures</w:t>
        </w:r>
      </w:hyperlink>
      <w:r w:rsidDel="00000000" w:rsidR="00000000" w:rsidRPr="00000000">
        <w:rPr>
          <w:rtl w:val="0"/>
        </w:rPr>
      </w:r>
    </w:p>
    <w:p w:rsidR="00000000" w:rsidDel="00000000" w:rsidP="00000000" w:rsidRDefault="00000000" w:rsidRPr="00000000" w14:paraId="0000001B">
      <w:pPr>
        <w:numPr>
          <w:ilvl w:val="0"/>
          <w:numId w:val="2"/>
        </w:numPr>
        <w:spacing w:after="0" w:afterAutospacing="0" w:before="0" w:beforeAutospacing="0" w:lineRule="auto"/>
        <w:ind w:left="720" w:hanging="360"/>
      </w:pPr>
      <w:hyperlink r:id="rId13">
        <w:r w:rsidDel="00000000" w:rsidR="00000000" w:rsidRPr="00000000">
          <w:rPr>
            <w:color w:val="1155cc"/>
            <w:u w:val="single"/>
            <w:rtl w:val="0"/>
          </w:rPr>
          <w:t xml:space="preserve">University Assessment &amp; Examination</w:t>
        </w:r>
      </w:hyperlink>
      <w:r w:rsidDel="00000000" w:rsidR="00000000" w:rsidRPr="00000000">
        <w:rPr>
          <w:rtl w:val="0"/>
        </w:rPr>
        <w:t xml:space="preserve"> </w:t>
      </w:r>
    </w:p>
    <w:p w:rsidR="00000000" w:rsidDel="00000000" w:rsidP="00000000" w:rsidRDefault="00000000" w:rsidRPr="00000000" w14:paraId="0000001C">
      <w:pPr>
        <w:numPr>
          <w:ilvl w:val="0"/>
          <w:numId w:val="2"/>
        </w:numPr>
        <w:spacing w:after="0" w:afterAutospacing="0" w:before="0" w:beforeAutospacing="0" w:lineRule="auto"/>
        <w:ind w:left="720" w:hanging="360"/>
      </w:pPr>
      <w:hyperlink r:id="rId14">
        <w:r w:rsidDel="00000000" w:rsidR="00000000" w:rsidRPr="00000000">
          <w:rPr>
            <w:color w:val="1155cc"/>
            <w:u w:val="single"/>
            <w:rtl w:val="0"/>
          </w:rPr>
          <w:t xml:space="preserve">Programme Specifications</w:t>
        </w:r>
      </w:hyperlink>
      <w:r w:rsidDel="00000000" w:rsidR="00000000" w:rsidRPr="00000000">
        <w:rPr>
          <w:rtl w:val="0"/>
        </w:rPr>
      </w:r>
    </w:p>
    <w:p w:rsidR="00000000" w:rsidDel="00000000" w:rsidP="00000000" w:rsidRDefault="00000000" w:rsidRPr="00000000" w14:paraId="0000001D">
      <w:pPr>
        <w:numPr>
          <w:ilvl w:val="0"/>
          <w:numId w:val="2"/>
        </w:numPr>
        <w:spacing w:after="0" w:afterAutospacing="0" w:before="0" w:beforeAutospacing="0" w:lineRule="auto"/>
        <w:ind w:left="720" w:hanging="360"/>
      </w:pPr>
      <w:hyperlink r:id="rId15">
        <w:r w:rsidDel="00000000" w:rsidR="00000000" w:rsidRPr="00000000">
          <w:rPr>
            <w:color w:val="1155cc"/>
            <w:u w:val="single"/>
            <w:rtl w:val="0"/>
          </w:rPr>
          <w:t xml:space="preserve">CS Student Handbook</w:t>
        </w:r>
      </w:hyperlink>
      <w:r w:rsidDel="00000000" w:rsidR="00000000" w:rsidRPr="00000000">
        <w:rPr>
          <w:rtl w:val="0"/>
        </w:rPr>
      </w:r>
    </w:p>
    <w:p w:rsidR="00000000" w:rsidDel="00000000" w:rsidP="00000000" w:rsidRDefault="00000000" w:rsidRPr="00000000" w14:paraId="0000001E">
      <w:pPr>
        <w:numPr>
          <w:ilvl w:val="0"/>
          <w:numId w:val="2"/>
        </w:numPr>
        <w:spacing w:after="0" w:afterAutospacing="0" w:before="0" w:beforeAutospacing="0" w:lineRule="auto"/>
        <w:ind w:left="720" w:hanging="360"/>
      </w:pPr>
      <w:hyperlink r:id="rId16">
        <w:r w:rsidDel="00000000" w:rsidR="00000000" w:rsidRPr="00000000">
          <w:rPr>
            <w:color w:val="1155cc"/>
            <w:u w:val="single"/>
            <w:rtl w:val="0"/>
          </w:rPr>
          <w:t xml:space="preserve">CS Assessment Information</w:t>
        </w:r>
      </w:hyperlink>
      <w:r w:rsidDel="00000000" w:rsidR="00000000" w:rsidRPr="00000000">
        <w:rPr>
          <w:rtl w:val="0"/>
        </w:rPr>
      </w:r>
    </w:p>
    <w:p w:rsidR="00000000" w:rsidDel="00000000" w:rsidP="00000000" w:rsidRDefault="00000000" w:rsidRPr="00000000" w14:paraId="0000001F">
      <w:pPr>
        <w:numPr>
          <w:ilvl w:val="1"/>
          <w:numId w:val="2"/>
        </w:numPr>
        <w:spacing w:after="0" w:afterAutospacing="0" w:before="0" w:beforeAutospacing="0" w:lineRule="auto"/>
        <w:ind w:left="1440" w:hanging="360"/>
      </w:pPr>
      <w:hyperlink r:id="rId17">
        <w:r w:rsidDel="00000000" w:rsidR="00000000" w:rsidRPr="00000000">
          <w:rPr>
            <w:color w:val="1155cc"/>
            <w:u w:val="single"/>
            <w:rtl w:val="0"/>
          </w:rPr>
          <w:t xml:space="preserve">Assessment Results</w:t>
        </w:r>
      </w:hyperlink>
      <w:r w:rsidDel="00000000" w:rsidR="00000000" w:rsidRPr="00000000">
        <w:rPr>
          <w:rtl w:val="0"/>
        </w:rPr>
      </w:r>
    </w:p>
    <w:p w:rsidR="00000000" w:rsidDel="00000000" w:rsidP="00000000" w:rsidRDefault="00000000" w:rsidRPr="00000000" w14:paraId="00000020">
      <w:pPr>
        <w:numPr>
          <w:ilvl w:val="1"/>
          <w:numId w:val="2"/>
        </w:numPr>
        <w:spacing w:after="0" w:afterAutospacing="0" w:before="0" w:beforeAutospacing="0" w:lineRule="auto"/>
        <w:ind w:left="1440" w:hanging="360"/>
      </w:pPr>
      <w:hyperlink r:id="rId18">
        <w:r w:rsidDel="00000000" w:rsidR="00000000" w:rsidRPr="00000000">
          <w:rPr>
            <w:color w:val="1155cc"/>
            <w:u w:val="single"/>
            <w:rtl w:val="0"/>
          </w:rPr>
          <w:t xml:space="preserve">Assessment Schedule</w:t>
        </w:r>
      </w:hyperlink>
      <w:r w:rsidDel="00000000" w:rsidR="00000000" w:rsidRPr="00000000">
        <w:rPr>
          <w:rtl w:val="0"/>
        </w:rPr>
        <w:t xml:space="preserve"> (coursework)</w:t>
      </w:r>
    </w:p>
    <w:p w:rsidR="00000000" w:rsidDel="00000000" w:rsidP="00000000" w:rsidRDefault="00000000" w:rsidRPr="00000000" w14:paraId="00000021">
      <w:pPr>
        <w:numPr>
          <w:ilvl w:val="1"/>
          <w:numId w:val="2"/>
        </w:numPr>
        <w:spacing w:after="240" w:before="0" w:beforeAutospacing="0" w:lineRule="auto"/>
        <w:ind w:left="1440" w:hanging="360"/>
      </w:pPr>
      <w:hyperlink r:id="rId19">
        <w:r w:rsidDel="00000000" w:rsidR="00000000" w:rsidRPr="00000000">
          <w:rPr>
            <w:color w:val="1155cc"/>
            <w:u w:val="single"/>
            <w:rtl w:val="0"/>
          </w:rPr>
          <w:t xml:space="preserve">Assessment Timetable</w:t>
        </w:r>
      </w:hyperlink>
      <w:r w:rsidDel="00000000" w:rsidR="00000000" w:rsidRPr="00000000">
        <w:rPr>
          <w:rtl w:val="0"/>
        </w:rPr>
        <w:t xml:space="preserve"> (exams)</w:t>
      </w:r>
      <w:r w:rsidDel="00000000" w:rsidR="00000000" w:rsidRPr="00000000">
        <w:rPr>
          <w:rtl w:val="0"/>
        </w:rPr>
      </w:r>
    </w:p>
    <w:p w:rsidR="00000000" w:rsidDel="00000000" w:rsidP="00000000" w:rsidRDefault="00000000" w:rsidRPr="00000000" w14:paraId="00000022">
      <w:pPr>
        <w:spacing w:after="240" w:before="240" w:lineRule="auto"/>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                                                                                                </w:t>
      </w:r>
    </w:p>
    <w:sectPr>
      <w:pgSz w:h="16838" w:w="11906" w:orient="portrait"/>
      <w:pgMar w:bottom="1133.8582677165355" w:top="1133.8582677165355" w:left="1247.2440944881891" w:right="1247.244094488189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spacing w:after="240" w:before="240" w:lineRule="auto"/>
    </w:pPr>
    <w:rPr>
      <w:b w:val="1"/>
      <w:bCs w:val="1"/>
      <w:sz w:val="34"/>
      <w:szCs w:val="34"/>
    </w:rPr>
  </w:style>
  <w:style w:type="paragraph" w:styleId="Heading3">
    <w:name w:val="heading 3"/>
    <w:basedOn w:val="Normal"/>
    <w:next w:val="Normal"/>
    <w:pPr>
      <w:keepNext w:val="1"/>
      <w:keepLines w:val="1"/>
      <w:spacing w:before="280" w:lineRule="auto"/>
    </w:pPr>
    <w:rPr>
      <w:b w:val="1"/>
      <w:bCs w:val="1"/>
      <w:sz w:val="26"/>
      <w:szCs w:val="26"/>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york.ac.uk/students/studying/progress/exceptional-circumstances/" TargetMode="External"/><Relationship Id="rId10" Type="http://schemas.openxmlformats.org/officeDocument/2006/relationships/hyperlink" Target="mailto:cs-exams@york.ac.uk" TargetMode="External"/><Relationship Id="rId13" Type="http://schemas.openxmlformats.org/officeDocument/2006/relationships/hyperlink" Target="https://www.york.ac.uk/students/studying/assessment-and-examination/" TargetMode="External"/><Relationship Id="rId12" Type="http://schemas.openxmlformats.org/officeDocument/2006/relationships/hyperlink" Target="https://www.york.ac.uk/students/studying/assessment-and-examination/guide-to-assessment/"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york.ac.uk/students/studying/progress/exceptional-circumstances/" TargetMode="External"/><Relationship Id="rId15" Type="http://schemas.openxmlformats.org/officeDocument/2006/relationships/hyperlink" Target="https://docs.google.com/document/d/19Hkbd50isco0HO2IBKIAZMTw7ODa8na2/edit?usp=sharing&amp;ouid=103012592490760239643&amp;rtpof=true&amp;sd=true" TargetMode="External"/><Relationship Id="rId14" Type="http://schemas.openxmlformats.org/officeDocument/2006/relationships/hyperlink" Target="https://www.york.ac.uk/students/studying/manage/programmes/programme-specs/undergraduate/computer-science/" TargetMode="External"/><Relationship Id="rId17" Type="http://schemas.openxmlformats.org/officeDocument/2006/relationships/hyperlink" Target="https://www.cs.york.ac.uk/student/results-and-feedback/" TargetMode="External"/><Relationship Id="rId16" Type="http://schemas.openxmlformats.org/officeDocument/2006/relationships/hyperlink" Target="https://www.cs.york.ac.uk/student/ug-information-pages/" TargetMode="External"/><Relationship Id="rId5" Type="http://schemas.openxmlformats.org/officeDocument/2006/relationships/styles" Target="styles.xml"/><Relationship Id="rId19" Type="http://schemas.openxmlformats.org/officeDocument/2006/relationships/hyperlink" Target="https://www.cs.york.ac.uk/student/exam-timetables/" TargetMode="External"/><Relationship Id="rId6" Type="http://schemas.openxmlformats.org/officeDocument/2006/relationships/hyperlink" Target="https://vle.york.ac.uk/" TargetMode="External"/><Relationship Id="rId18" Type="http://schemas.openxmlformats.org/officeDocument/2006/relationships/hyperlink" Target="https://www.york.ac.uk/computer-science/current-students-staff/student/timetables-and-schedules/" TargetMode="External"/><Relationship Id="rId7" Type="http://schemas.openxmlformats.org/officeDocument/2006/relationships/hyperlink" Target="https://www.york.ac.uk/computer-science/current-students-staff/student/timetables-and-schedules/" TargetMode="External"/><Relationship Id="rId8" Type="http://schemas.openxmlformats.org/officeDocument/2006/relationships/hyperlink" Target="https://www.york.ac.uk/computer-science/current-students-staff/student/timetables-and-schedules/#tab-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